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0"/>
        <w:jc w:val="center"/>
        <w:rPr>
          <w:b/>
        </w:rPr>
      </w:pPr>
      <w:r>
        <w:rPr>
          <w:b/>
        </w:rPr>
        <w:t xml:space="preserve">ФИНАНСОВО-ЭКОНОМИЧЕСКОЕ ОБОСНОВАНИЕ</w:t>
      </w:r>
      <w:r>
        <w:rPr>
          <w:b/>
        </w:rPr>
      </w:r>
      <w:r>
        <w:rPr>
          <w:b/>
        </w:rPr>
      </w:r>
    </w:p>
    <w:p>
      <w:pPr>
        <w:pStyle w:val="860"/>
        <w:jc w:val="center"/>
        <w:rPr>
          <w:b/>
          <w:bCs/>
        </w:rPr>
      </w:pPr>
      <w:r>
        <w:rPr>
          <w:b/>
          <w:szCs w:val="28"/>
        </w:rPr>
        <w:t xml:space="preserve">к проекту закона Новосибирской области «</w:t>
      </w:r>
      <w:r>
        <w:rPr>
          <w:b/>
          <w:bCs/>
          <w:szCs w:val="28"/>
        </w:rPr>
        <w:t xml:space="preserve">О внесении изменения в </w:t>
      </w:r>
      <w:r>
        <w:rPr>
          <w:b/>
          <w:bCs/>
          <w:szCs w:val="28"/>
        </w:rPr>
        <w:t xml:space="preserve">статью 5 Закона Новосибирской области</w:t>
      </w:r>
      <w:r>
        <w:rPr>
          <w:b/>
          <w:szCs w:val="28"/>
        </w:rPr>
        <w:t xml:space="preserve"> «О государственной поддержке социально ориентированных некоммерческих организаций в Новосибирской области»</w:t>
      </w:r>
      <w:r>
        <w:rPr>
          <w:b/>
          <w:bCs/>
        </w:rPr>
      </w:r>
      <w:r>
        <w:rPr>
          <w:b/>
          <w:bCs/>
        </w:rPr>
      </w:r>
    </w:p>
    <w:p>
      <w:pPr>
        <w:pStyle w:val="860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60"/>
        <w:ind w:firstLine="709"/>
        <w:jc w:val="both"/>
        <w:rPr>
          <w:color w:val="000000"/>
          <w:szCs w:val="28"/>
        </w:rPr>
      </w:pPr>
      <w:r>
        <w:rPr>
          <w:rStyle w:val="878"/>
          <w:color w:val="000000"/>
          <w:szCs w:val="28"/>
        </w:rPr>
        <w:t xml:space="preserve">Принятие закона Новосибирской области «О внесении изменения в статью 5 Закона Новосибирской области «О государственной поддержке социально ориентированных некоммерческих организаций в Новосибирской области»</w:t>
      </w:r>
      <w:r>
        <w:rPr>
          <w:color w:val="000000"/>
          <w:szCs w:val="28"/>
        </w:rPr>
        <w:t xml:space="preserve"> </w:t>
      </w:r>
      <w:r>
        <w:rPr>
          <w:szCs w:val="28"/>
        </w:rPr>
        <w:t xml:space="preserve">(далее – закон) </w:t>
      </w:r>
      <w:r>
        <w:rPr>
          <w:color w:val="000000"/>
          <w:szCs w:val="28"/>
        </w:rPr>
        <w:t xml:space="preserve">не потребует дополнительных расходов из областного бюджета Новосибирской области.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pStyle w:val="860"/>
        <w:ind w:firstLine="708"/>
        <w:jc w:val="both"/>
        <w:rPr>
          <w:szCs w:val="28"/>
        </w:rPr>
      </w:pPr>
      <w:r>
        <w:rPr>
          <w:szCs w:val="28"/>
        </w:rPr>
        <w:t xml:space="preserve">Участник</w:t>
      </w:r>
      <w:r>
        <w:rPr>
          <w:szCs w:val="28"/>
        </w:rPr>
        <w:t xml:space="preserve">ами</w:t>
      </w:r>
      <w:r>
        <w:rPr>
          <w:szCs w:val="28"/>
        </w:rPr>
        <w:t xml:space="preserve"> реализации </w:t>
      </w:r>
      <w:r>
        <w:rPr>
          <w:szCs w:val="28"/>
        </w:rPr>
        <w:t xml:space="preserve">закона</w:t>
      </w:r>
      <w:r>
        <w:rPr>
          <w:szCs w:val="28"/>
        </w:rPr>
        <w:t xml:space="preserve"> (в части </w:t>
      </w:r>
      <w:r>
        <w:t xml:space="preserve">изменений внесенных Федеральным законом от 28.11.2025 № 446-ФЗ «О внесении изменения в статью 31.1 Федерального закона «О некоммерческих организациях»</w:t>
      </w:r>
      <w:r>
        <w:t xml:space="preserve"> и</w:t>
      </w:r>
      <w:r>
        <w:rPr>
          <w:bCs/>
          <w:szCs w:val="28"/>
        </w:rPr>
        <w:t xml:space="preserve"> Федеральным законом от 28.12.2025 № 511-ФЗ «О внесении изменений в отдельные законодательные акты Российской Федерации»</w:t>
      </w:r>
      <w:r>
        <w:rPr>
          <w:szCs w:val="28"/>
        </w:rPr>
        <w:t xml:space="preserve">) явля</w:t>
      </w:r>
      <w:r>
        <w:rPr>
          <w:szCs w:val="28"/>
        </w:rPr>
        <w:t xml:space="preserve">ю</w:t>
      </w:r>
      <w:r>
        <w:rPr>
          <w:szCs w:val="28"/>
        </w:rPr>
        <w:t xml:space="preserve">тся министерство</w:t>
      </w:r>
      <w:r>
        <w:rPr>
          <w:szCs w:val="28"/>
        </w:rPr>
        <w:t xml:space="preserve"> </w:t>
      </w:r>
      <w:r>
        <w:rPr>
          <w:bCs/>
          <w:iCs/>
          <w:szCs w:val="28"/>
        </w:rPr>
        <w:t xml:space="preserve">региональной политики Новосибирской области</w:t>
      </w:r>
      <w:r>
        <w:rPr>
          <w:bCs/>
          <w:iCs/>
          <w:szCs w:val="28"/>
        </w:rPr>
        <w:t xml:space="preserve"> и </w:t>
      </w:r>
      <w:r>
        <w:rPr>
          <w:szCs w:val="28"/>
        </w:rPr>
        <w:t xml:space="preserve">министерство труда и социального развития Новосибирской области.</w:t>
      </w:r>
      <w:r>
        <w:rPr>
          <w:szCs w:val="28"/>
        </w:rPr>
      </w:r>
      <w:r>
        <w:rPr>
          <w:szCs w:val="28"/>
        </w:rPr>
      </w:r>
    </w:p>
    <w:p>
      <w:pPr>
        <w:pStyle w:val="860"/>
        <w:ind w:firstLine="709"/>
        <w:jc w:val="both"/>
      </w:pPr>
      <w:r>
        <w:rPr>
          <w:bCs/>
          <w:iCs/>
          <w:szCs w:val="28"/>
        </w:rPr>
        <w:t xml:space="preserve">Мероприятия по </w:t>
      </w:r>
      <w:r>
        <w:rPr>
          <w:szCs w:val="28"/>
        </w:rPr>
        <w:t xml:space="preserve">финансовой поддержке социально ориентированных некоммерческих организаций </w:t>
      </w:r>
      <w:r>
        <w:rPr>
          <w:szCs w:val="28"/>
          <w:highlight w:val="none"/>
        </w:rPr>
        <w:t xml:space="preserve">(далее </w:t>
      </w:r>
      <w:r>
        <w:rPr>
          <w:szCs w:val="28"/>
        </w:rPr>
        <w:t xml:space="preserve">–</w:t>
      </w:r>
      <w:r>
        <w:rPr>
          <w:szCs w:val="28"/>
          <w:highlight w:val="none"/>
        </w:rPr>
        <w:t xml:space="preserve"> </w:t>
      </w:r>
      <w:r>
        <w:rPr>
          <w:szCs w:val="28"/>
        </w:rPr>
        <w:t xml:space="preserve">СО НКО) </w:t>
      </w:r>
      <w:r>
        <w:rPr>
          <w:bCs/>
          <w:iCs/>
          <w:szCs w:val="28"/>
        </w:rPr>
        <w:t xml:space="preserve">осуществляются </w:t>
      </w:r>
      <w:r>
        <w:rPr>
          <w:szCs w:val="28"/>
        </w:rPr>
        <w:t xml:space="preserve">министерством </w:t>
      </w:r>
      <w:r>
        <w:rPr>
          <w:bCs/>
          <w:iCs/>
          <w:szCs w:val="28"/>
        </w:rPr>
        <w:t xml:space="preserve">региональной политики Новосибирской области</w:t>
      </w:r>
      <w:r>
        <w:rPr>
          <w:bCs/>
          <w:iCs/>
          <w:szCs w:val="28"/>
        </w:rPr>
        <w:t xml:space="preserve"> </w:t>
      </w:r>
      <w:r>
        <w:rPr>
          <w:bCs/>
          <w:iCs/>
          <w:szCs w:val="28"/>
        </w:rPr>
        <w:t xml:space="preserve">в рамках полномочий: </w:t>
      </w:r>
      <w:r>
        <w:rPr>
          <w:bCs/>
          <w:iCs/>
          <w:szCs w:val="28"/>
        </w:rPr>
        <w:t xml:space="preserve">«</w:t>
      </w:r>
      <w:r>
        <w:rPr>
          <w:szCs w:val="28"/>
        </w:rPr>
        <w:t xml:space="preserve">Создание условий и осуществлени</w:t>
      </w:r>
      <w:r>
        <w:rPr>
          <w:szCs w:val="28"/>
        </w:rPr>
        <w:t xml:space="preserve">е</w:t>
      </w:r>
      <w:r>
        <w:rPr>
          <w:szCs w:val="28"/>
        </w:rPr>
        <w:t xml:space="preserve"> поддержки социально ориентированных некоммерческих организаций, благотворительной деятельности и добровольчества (волонтерства)»</w:t>
      </w:r>
      <w:r>
        <w:t xml:space="preserve">, </w:t>
      </w:r>
      <w:r>
        <w:rPr>
          <w:szCs w:val="28"/>
          <w:highlight w:val="none"/>
        </w:rPr>
        <w:t xml:space="preserve">«</w:t>
      </w:r>
      <w:r>
        <w:rPr>
          <w:szCs w:val="28"/>
          <w:highlight w:val="none"/>
        </w:rPr>
        <w:t xml:space="preserve">Осуществление региональных и межмуниципальных программ и мероприятий по работе с детьми и молодежью</w:t>
      </w:r>
      <w:r>
        <w:rPr>
          <w:szCs w:val="28"/>
          <w:highlight w:val="none"/>
        </w:rPr>
        <w:t xml:space="preserve">»</w:t>
      </w:r>
      <w:r>
        <w:rPr>
          <w:szCs w:val="28"/>
          <w:highlight w:val="none"/>
        </w:rPr>
        <w:t xml:space="preserve">. </w:t>
      </w:r>
      <w:r>
        <w:rPr>
          <w:highlight w:val="none"/>
        </w:rPr>
      </w:r>
      <w:r/>
    </w:p>
    <w:p>
      <w:pPr>
        <w:pStyle w:val="860"/>
        <w:ind w:firstLine="709"/>
        <w:jc w:val="both"/>
        <w:tabs>
          <w:tab w:val="left" w:pos="-2694" w:leader="none"/>
          <w:tab w:val="left" w:pos="-1560" w:leader="none"/>
        </w:tabs>
      </w:pPr>
      <w:r>
        <w:rPr>
          <w:szCs w:val="28"/>
        </w:rPr>
        <w:t xml:space="preserve">Законом Новосибирской </w:t>
      </w:r>
      <w:r>
        <w:rPr>
          <w:szCs w:val="28"/>
          <w:highlight w:val="none"/>
        </w:rPr>
        <w:t xml:space="preserve">области от </w:t>
      </w:r>
      <w:r>
        <w:rPr>
          <w:szCs w:val="28"/>
          <w:highlight w:val="none"/>
        </w:rPr>
        <w:t xml:space="preserve">19</w:t>
      </w:r>
      <w:r>
        <w:rPr>
          <w:szCs w:val="28"/>
          <w:highlight w:val="none"/>
        </w:rPr>
        <w:t xml:space="preserve">.12.2025 № 37-ОЗ</w:t>
      </w:r>
      <w:r>
        <w:rPr>
          <w:szCs w:val="28"/>
          <w:highlight w:val="none"/>
        </w:rPr>
        <w:t xml:space="preserve"> «Об об</w:t>
      </w:r>
      <w:r>
        <w:rPr>
          <w:szCs w:val="28"/>
          <w:highlight w:val="none"/>
        </w:rPr>
        <w:t xml:space="preserve">ластном бюджете Новосибирской области на </w:t>
      </w:r>
      <w:r>
        <w:rPr>
          <w:szCs w:val="28"/>
          <w:highlight w:val="none"/>
        </w:rPr>
        <w:t xml:space="preserve">2026 год и плановый период 2027 и 2028 годов</w:t>
      </w:r>
      <w:r>
        <w:rPr>
          <w:szCs w:val="28"/>
          <w:highlight w:val="none"/>
        </w:rPr>
        <w:t xml:space="preserve">» (далее </w:t>
      </w:r>
      <w:r>
        <w:rPr>
          <w:szCs w:val="28"/>
        </w:rPr>
        <w:t xml:space="preserve">–</w:t>
      </w:r>
      <w:r>
        <w:rPr>
          <w:szCs w:val="28"/>
          <w:highlight w:val="none"/>
        </w:rPr>
        <w:t xml:space="preserve"> </w:t>
      </w:r>
      <w:r>
        <w:rPr>
          <w:szCs w:val="28"/>
        </w:rPr>
        <w:t xml:space="preserve">Законом </w:t>
      </w:r>
      <w:r>
        <w:rPr>
          <w:szCs w:val="28"/>
        </w:rPr>
        <w:t xml:space="preserve">Новосибирской области</w:t>
      </w:r>
      <w:r>
        <w:rPr>
          <w:szCs w:val="28"/>
          <w:highlight w:val="none"/>
        </w:rPr>
        <w:t xml:space="preserve"> № 37-ОЗ</w:t>
      </w:r>
      <w:r>
        <w:rPr>
          <w:szCs w:val="28"/>
          <w:highlight w:val="none"/>
        </w:rPr>
        <w:t xml:space="preserve">) министерству </w:t>
      </w:r>
      <w:r>
        <w:rPr>
          <w:bCs/>
          <w:iCs/>
          <w:szCs w:val="28"/>
        </w:rPr>
        <w:t xml:space="preserve">региональной политики Новосибирской области предусмотрены  </w:t>
      </w:r>
      <w:r>
        <w:rPr>
          <w:szCs w:val="28"/>
        </w:rPr>
        <w:t xml:space="preserve">бюджетные</w:t>
      </w:r>
      <w:r>
        <w:rPr>
          <w:bCs/>
          <w:iCs/>
          <w:szCs w:val="28"/>
        </w:rPr>
        <w:t xml:space="preserve"> ассигнования</w:t>
      </w:r>
      <w:r>
        <w:rPr>
          <w:szCs w:val="28"/>
        </w:rPr>
        <w:t xml:space="preserve"> </w:t>
      </w:r>
      <w:r>
        <w:rPr>
          <w:szCs w:val="28"/>
        </w:rPr>
        <w:t xml:space="preserve">по </w:t>
      </w:r>
      <w:r>
        <w:rPr>
          <w:bCs/>
          <w:iCs/>
          <w:szCs w:val="28"/>
        </w:rPr>
        <w:t xml:space="preserve">следующим </w:t>
      </w:r>
      <w:r>
        <w:rPr>
          <w:szCs w:val="28"/>
        </w:rPr>
        <w:t xml:space="preserve">расходным обязательствам: </w:t>
      </w:r>
      <w:r/>
    </w:p>
    <w:p>
      <w:pPr>
        <w:ind w:firstLine="709"/>
        <w:jc w:val="both"/>
        <w:tabs>
          <w:tab w:val="left" w:pos="-2694" w:leader="none"/>
          <w:tab w:val="left" w:pos="-1560" w:leader="none"/>
        </w:tabs>
      </w:pPr>
      <w:r>
        <w:rPr>
          <w:szCs w:val="28"/>
        </w:rPr>
      </w:r>
      <w:r>
        <w:rPr>
          <w:b/>
          <w:szCs w:val="28"/>
        </w:rPr>
        <w:t xml:space="preserve">«</w:t>
      </w:r>
      <w:r>
        <w:rPr>
          <w:szCs w:val="28"/>
        </w:rPr>
        <w:t xml:space="preserve">Мероприятия по государственной поддержке общественных инициатив, социально ориентированных некоммерческих организаций и развитию институтов гражданского общества в Новосибирской области</w:t>
      </w:r>
      <w:r>
        <w:rPr>
          <w:b/>
          <w:szCs w:val="28"/>
        </w:rPr>
        <w:t xml:space="preserve">»</w:t>
      </w:r>
      <w:r>
        <w:rPr>
          <w:szCs w:val="28"/>
        </w:rPr>
        <w:t xml:space="preserve"> </w:t>
      </w:r>
      <w:r>
        <w:rPr>
          <w:szCs w:val="28"/>
        </w:rPr>
        <w:t xml:space="preserve">общий объем расходов</w:t>
      </w:r>
      <w:r>
        <w:rPr>
          <w:szCs w:val="28"/>
        </w:rPr>
        <w:t xml:space="preserve"> составляет </w:t>
      </w:r>
      <w:r>
        <w:rPr>
          <w:szCs w:val="28"/>
          <w:highlight w:val="none"/>
        </w:rPr>
        <w:t xml:space="preserve">259 671</w:t>
      </w:r>
      <w:r>
        <w:rPr>
          <w:szCs w:val="28"/>
        </w:rPr>
        <w:t xml:space="preserve">,0 тыс. рублей</w:t>
      </w:r>
      <w:r>
        <w:rPr>
          <w:szCs w:val="28"/>
        </w:rPr>
        <w:t xml:space="preserve">:</w:t>
      </w:r>
      <w:r>
        <w:rPr>
          <w:szCs w:val="28"/>
        </w:rPr>
      </w:r>
      <w:r/>
    </w:p>
    <w:p>
      <w:pPr>
        <w:pStyle w:val="860"/>
        <w:ind w:firstLine="709"/>
        <w:jc w:val="both"/>
        <w:rPr>
          <w:szCs w:val="28"/>
        </w:rPr>
      </w:pPr>
      <w:r>
        <w:rPr>
          <w:szCs w:val="28"/>
        </w:rPr>
        <w:t xml:space="preserve">КБК 105 </w:t>
      </w:r>
      <w:r>
        <w:rPr>
          <w:bCs/>
          <w:iCs/>
          <w:szCs w:val="28"/>
        </w:rPr>
        <w:t xml:space="preserve">1006 </w:t>
      </w:r>
      <w:r>
        <w:rPr>
          <w:rFonts w:eastAsia="Calibri"/>
          <w:szCs w:val="28"/>
        </w:rPr>
        <w:t xml:space="preserve">16.3.02.04410 633</w:t>
      </w:r>
      <w:r>
        <w:rPr>
          <w:szCs w:val="28"/>
        </w:rPr>
        <w:t xml:space="preserve"> – 74 671,0</w:t>
      </w:r>
      <w:r>
        <w:rPr>
          <w:szCs w:val="28"/>
        </w:rPr>
        <w:t xml:space="preserve"> тыс. рублей на 2026 год,</w:t>
      </w:r>
      <w:r>
        <w:rPr>
          <w:szCs w:val="28"/>
        </w:rPr>
      </w:r>
      <w:r>
        <w:rPr>
          <w:szCs w:val="28"/>
        </w:rPr>
      </w:r>
    </w:p>
    <w:p>
      <w:pPr>
        <w:pStyle w:val="860"/>
        <w:ind w:firstLine="709"/>
        <w:jc w:val="both"/>
        <w:rPr>
          <w:szCs w:val="28"/>
        </w:rPr>
      </w:pPr>
      <w:r>
        <w:rPr>
          <w:szCs w:val="28"/>
        </w:rPr>
        <w:t xml:space="preserve">КБК 105 </w:t>
      </w:r>
      <w:r>
        <w:rPr>
          <w:bCs/>
          <w:iCs/>
          <w:szCs w:val="28"/>
        </w:rPr>
        <w:t xml:space="preserve">1006 </w:t>
      </w:r>
      <w:r>
        <w:rPr>
          <w:rFonts w:eastAsia="Calibri"/>
          <w:szCs w:val="28"/>
        </w:rPr>
        <w:t xml:space="preserve">16.3.02.04410 633</w:t>
      </w:r>
      <w:r>
        <w:rPr>
          <w:szCs w:val="28"/>
        </w:rPr>
        <w:t xml:space="preserve"> – 105 000,0</w:t>
      </w:r>
      <w:r>
        <w:rPr>
          <w:szCs w:val="28"/>
        </w:rPr>
        <w:t xml:space="preserve"> тыс. </w:t>
      </w:r>
      <w:r>
        <w:rPr>
          <w:szCs w:val="28"/>
        </w:rPr>
        <w:t xml:space="preserve">рублей на 202</w:t>
      </w:r>
      <w:r>
        <w:rPr>
          <w:szCs w:val="28"/>
        </w:rPr>
        <w:t xml:space="preserve">7 год,</w:t>
      </w:r>
      <w:r>
        <w:rPr>
          <w:szCs w:val="28"/>
        </w:rPr>
      </w:r>
      <w:r>
        <w:rPr>
          <w:szCs w:val="28"/>
        </w:rPr>
      </w:r>
    </w:p>
    <w:p>
      <w:pPr>
        <w:pStyle w:val="860"/>
        <w:ind w:firstLine="709"/>
        <w:jc w:val="both"/>
        <w:rPr>
          <w:szCs w:val="28"/>
        </w:rPr>
      </w:pPr>
      <w:r>
        <w:rPr>
          <w:szCs w:val="28"/>
        </w:rPr>
        <w:t xml:space="preserve">КБК </w:t>
      </w:r>
      <w:r>
        <w:rPr>
          <w:szCs w:val="28"/>
        </w:rPr>
        <w:t xml:space="preserve">105 </w:t>
      </w:r>
      <w:r>
        <w:rPr>
          <w:bCs/>
          <w:iCs/>
          <w:szCs w:val="28"/>
        </w:rPr>
        <w:t xml:space="preserve">10</w:t>
      </w:r>
      <w:r>
        <w:rPr>
          <w:bCs/>
          <w:iCs/>
          <w:szCs w:val="28"/>
        </w:rPr>
        <w:t xml:space="preserve">06 </w:t>
      </w:r>
      <w:r>
        <w:rPr>
          <w:rFonts w:eastAsia="Calibri"/>
          <w:szCs w:val="28"/>
        </w:rPr>
        <w:t xml:space="preserve">16</w:t>
      </w:r>
      <w:r>
        <w:rPr>
          <w:rFonts w:eastAsia="Calibri"/>
          <w:szCs w:val="28"/>
        </w:rPr>
        <w:t xml:space="preserve">.</w:t>
      </w:r>
      <w:r>
        <w:rPr>
          <w:rFonts w:eastAsia="Calibri"/>
          <w:szCs w:val="28"/>
        </w:rPr>
        <w:t xml:space="preserve">3</w:t>
      </w:r>
      <w:r>
        <w:rPr>
          <w:rFonts w:eastAsia="Calibri"/>
          <w:szCs w:val="28"/>
        </w:rPr>
        <w:t xml:space="preserve">.</w:t>
      </w:r>
      <w:r>
        <w:rPr>
          <w:rFonts w:eastAsia="Calibri"/>
          <w:szCs w:val="28"/>
        </w:rPr>
        <w:t xml:space="preserve">0</w:t>
      </w:r>
      <w:r>
        <w:rPr>
          <w:rFonts w:eastAsia="Calibri"/>
          <w:szCs w:val="28"/>
        </w:rPr>
        <w:t xml:space="preserve">2.04410 633</w:t>
      </w:r>
      <w:r>
        <w:rPr>
          <w:szCs w:val="28"/>
        </w:rPr>
        <w:t xml:space="preserve"> – 80 000,0 тыс. рублей на 2028</w:t>
      </w:r>
      <w:r>
        <w:rPr>
          <w:szCs w:val="28"/>
        </w:rPr>
        <w:t xml:space="preserve"> год;</w:t>
      </w: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tabs>
          <w:tab w:val="left" w:pos="-2694" w:leader="none"/>
          <w:tab w:val="left" w:pos="-1560" w:leader="none"/>
        </w:tabs>
        <w:rPr>
          <w:highlight w:val="none"/>
        </w:rPr>
      </w:pPr>
      <w:r>
        <w:rPr>
          <w:b w:val="0"/>
          <w:bCs w:val="0"/>
          <w:szCs w:val="28"/>
        </w:rPr>
        <w:t xml:space="preserve">«</w:t>
      </w:r>
      <w:r>
        <w:rPr>
          <w:b w:val="0"/>
          <w:bCs w:val="0"/>
          <w:szCs w:val="28"/>
          <w:highlight w:val="none"/>
        </w:rPr>
        <w:t xml:space="preserve">Мероприятия по патриотическому воспитанию граждан Российской Федерации в Новосибирской области</w:t>
      </w:r>
      <w:r>
        <w:rPr>
          <w:b w:val="0"/>
          <w:bCs w:val="0"/>
          <w:szCs w:val="28"/>
          <w:highlight w:val="none"/>
        </w:rPr>
        <w:t xml:space="preserve">»</w:t>
      </w:r>
      <w:r>
        <w:rPr>
          <w:szCs w:val="28"/>
          <w:highlight w:val="none"/>
        </w:rPr>
        <w:t xml:space="preserve"> </w:t>
      </w:r>
      <w:r>
        <w:rPr>
          <w:szCs w:val="28"/>
          <w:highlight w:val="none"/>
        </w:rPr>
        <w:t xml:space="preserve">общий объем расходов </w:t>
      </w:r>
      <w:r>
        <w:rPr>
          <w:szCs w:val="28"/>
        </w:rPr>
        <w:t xml:space="preserve">–</w:t>
      </w:r>
      <w:r>
        <w:rPr>
          <w:szCs w:val="28"/>
          <w:highlight w:val="none"/>
        </w:rPr>
        <w:t xml:space="preserve"> 23 880,0</w:t>
      </w:r>
      <w:r>
        <w:rPr>
          <w:szCs w:val="28"/>
          <w:highlight w:val="none"/>
        </w:rPr>
        <w:t xml:space="preserve"> тыс. рублей</w:t>
      </w:r>
      <w:r>
        <w:rPr>
          <w:highlight w:val="none"/>
        </w:rPr>
        <w:t xml:space="preserve"> </w:t>
      </w:r>
      <w:r>
        <w:rPr>
          <w:szCs w:val="28"/>
        </w:rPr>
        <w:t xml:space="preserve">КБК 105 </w:t>
      </w:r>
      <w:r>
        <w:rPr>
          <w:bCs/>
          <w:iCs/>
          <w:szCs w:val="28"/>
        </w:rPr>
        <w:t xml:space="preserve">0709 </w:t>
      </w:r>
      <w:r>
        <w:rPr>
          <w:rFonts w:eastAsia="Calibri"/>
          <w:szCs w:val="28"/>
        </w:rPr>
        <w:t xml:space="preserve">16.3.04.07240 633</w:t>
      </w:r>
      <w:r>
        <w:rPr>
          <w:szCs w:val="28"/>
        </w:rPr>
        <w:t xml:space="preserve"> – 7 960,0</w:t>
      </w:r>
      <w:r>
        <w:rPr>
          <w:szCs w:val="28"/>
        </w:rPr>
        <w:t xml:space="preserve"> тыс. </w:t>
      </w:r>
      <w:r>
        <w:rPr>
          <w:szCs w:val="28"/>
          <w:highlight w:val="none"/>
        </w:rPr>
        <w:t xml:space="preserve">рублей </w:t>
      </w:r>
      <w:r>
        <w:rPr>
          <w:szCs w:val="28"/>
          <w:highlight w:val="none"/>
        </w:rPr>
        <w:t xml:space="preserve">на 2026-2028 годы ежегодно</w:t>
      </w:r>
      <w:r>
        <w:rPr>
          <w:szCs w:val="28"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>
        <w:rPr>
          <w:szCs w:val="28"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875"/>
        <w:ind w:firstLine="709"/>
        <w:jc w:val="both"/>
        <w:spacing w:line="20" w:lineRule="atLeas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Министерством труда и социального развития Новосибирской области р</w:t>
      </w:r>
      <w:r>
        <w:rPr>
          <w:rFonts w:ascii="Times New Roman" w:hAnsi="Times New Roman"/>
          <w:b w:val="0"/>
          <w:sz w:val="28"/>
          <w:szCs w:val="28"/>
        </w:rPr>
        <w:t xml:space="preserve">еализация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закона </w:t>
      </w:r>
      <w:r>
        <w:rPr>
          <w:rFonts w:ascii="Times New Roman" w:hAnsi="Times New Roman"/>
          <w:b w:val="0"/>
          <w:sz w:val="28"/>
          <w:szCs w:val="28"/>
        </w:rPr>
        <w:t xml:space="preserve">будет осуществляться в рамках полномочи</w:t>
      </w:r>
      <w:r>
        <w:rPr>
          <w:rFonts w:ascii="Times New Roman" w:hAnsi="Times New Roman"/>
          <w:b w:val="0"/>
          <w:sz w:val="28"/>
          <w:szCs w:val="28"/>
        </w:rPr>
        <w:t xml:space="preserve">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«Полномочия в рамках реализации мероприятий, связанных с влиянием ухудшения геополитической и экономической ситуации на развитие отраслей экономики, а также связанных с проведением специальной военной операции</w:t>
      </w:r>
      <w:r>
        <w:rPr>
          <w:rFonts w:ascii="Times New Roman" w:hAnsi="Times New Roman"/>
          <w:b w:val="0"/>
          <w:sz w:val="28"/>
          <w:szCs w:val="28"/>
        </w:rPr>
        <w:t xml:space="preserve">»</w:t>
      </w:r>
      <w:r>
        <w:rPr>
          <w:rFonts w:ascii="Times New Roman" w:hAnsi="Times New Roman"/>
          <w:b w:val="0"/>
          <w:sz w:val="28"/>
          <w:szCs w:val="28"/>
        </w:rPr>
        <w:t xml:space="preserve">.</w:t>
      </w:r>
      <w:r>
        <w:rPr>
          <w:rFonts w:ascii="Times New Roman" w:hAnsi="Times New Roman"/>
          <w:b w:val="0"/>
          <w:sz w:val="28"/>
          <w:szCs w:val="28"/>
        </w:rPr>
      </w:r>
      <w:r>
        <w:rPr>
          <w:rFonts w:ascii="Times New Roman" w:hAnsi="Times New Roman"/>
          <w:b w:val="0"/>
          <w:sz w:val="28"/>
          <w:szCs w:val="28"/>
        </w:rPr>
      </w:r>
    </w:p>
    <w:p>
      <w:pPr>
        <w:pStyle w:val="860"/>
        <w:ind w:firstLine="708"/>
        <w:jc w:val="both"/>
        <w:rPr>
          <w:highlight w:val="none"/>
        </w:rPr>
      </w:pPr>
      <w:r>
        <w:rPr>
          <w:szCs w:val="28"/>
        </w:rPr>
        <w:t xml:space="preserve">Законом Новосибирской области № 37-ОЗ министерству </w:t>
      </w:r>
      <w:r>
        <w:rPr>
          <w:szCs w:val="28"/>
        </w:rPr>
        <w:t xml:space="preserve">труда и социального развития Новосибирской области</w:t>
      </w:r>
      <w:r>
        <w:rPr>
          <w:szCs w:val="28"/>
        </w:rPr>
        <w:t xml:space="preserve"> предусмотрены бюджетные ассигнования </w:t>
      </w:r>
      <w:r>
        <w:rPr>
          <w:szCs w:val="28"/>
        </w:rPr>
        <w:t xml:space="preserve">по </w:t>
      </w:r>
      <w:r>
        <w:rPr>
          <w:szCs w:val="28"/>
        </w:rPr>
        <w:t xml:space="preserve">расходному обязательству </w:t>
      </w:r>
      <w:r>
        <w:rPr>
          <w:szCs w:val="28"/>
          <w:highlight w:val="none"/>
        </w:rPr>
        <w:t xml:space="preserve">«Мероприятия, связанные с</w:t>
      </w:r>
      <w:r>
        <w:rPr>
          <w:rFonts w:ascii="Times New Roman" w:hAnsi="Times New Roman"/>
          <w:b w:val="0"/>
          <w:sz w:val="28"/>
          <w:szCs w:val="28"/>
        </w:rPr>
        <w:t xml:space="preserve"> влиянием </w:t>
      </w:r>
      <w:r>
        <w:rPr>
          <w:rFonts w:ascii="Times New Roman" w:hAnsi="Times New Roman"/>
          <w:b w:val="0"/>
          <w:sz w:val="28"/>
          <w:szCs w:val="28"/>
          <w:highlight w:val="none"/>
        </w:rPr>
        <w:t xml:space="preserve">ухудшения геополитической и экономической ситуации на развитие отраслей экономики, а также связанных с проведением специальной военной операции</w:t>
      </w:r>
      <w:r>
        <w:rPr>
          <w:szCs w:val="28"/>
          <w:highlight w:val="none"/>
        </w:rPr>
        <w:t xml:space="preserve">»:</w:t>
      </w:r>
      <w:r>
        <w:rPr>
          <w:highlight w:val="none"/>
        </w:rPr>
      </w:r>
      <w:r>
        <w:rPr>
          <w:highlight w:val="none"/>
        </w:rPr>
      </w:r>
    </w:p>
    <w:p>
      <w:pPr>
        <w:pStyle w:val="860"/>
        <w:ind w:firstLine="708"/>
        <w:jc w:val="both"/>
        <w:rPr>
          <w:highlight w:val="none"/>
        </w:rPr>
      </w:pPr>
      <w:r>
        <w:rPr>
          <w:szCs w:val="28"/>
          <w:highlight w:val="none"/>
        </w:rPr>
        <w:t xml:space="preserve">КБК 023 1006 </w:t>
      </w:r>
      <w:r>
        <w:rPr>
          <w:szCs w:val="28"/>
          <w:highlight w:val="none"/>
        </w:rPr>
        <w:t xml:space="preserve">28.</w:t>
      </w:r>
      <w:r>
        <w:rPr>
          <w:szCs w:val="28"/>
          <w:highlight w:val="none"/>
        </w:rPr>
        <w:t xml:space="preserve">3</w:t>
      </w:r>
      <w:r>
        <w:rPr>
          <w:szCs w:val="28"/>
          <w:highlight w:val="none"/>
        </w:rPr>
        <w:t xml:space="preserve">.</w:t>
      </w:r>
      <w:r>
        <w:rPr>
          <w:szCs w:val="28"/>
          <w:highlight w:val="none"/>
        </w:rPr>
        <w:t xml:space="preserve">04</w:t>
      </w:r>
      <w:r>
        <w:rPr>
          <w:szCs w:val="28"/>
          <w:highlight w:val="none"/>
        </w:rPr>
        <w:t xml:space="preserve">.</w:t>
      </w:r>
      <w:r>
        <w:rPr>
          <w:szCs w:val="28"/>
          <w:highlight w:val="none"/>
        </w:rPr>
        <w:t xml:space="preserve">07690 633 – 5 070,0 тыс. рублей на 2026-2028 годы ежегодно;</w:t>
      </w:r>
      <w:r>
        <w:rPr>
          <w:highlight w:val="none"/>
        </w:rPr>
      </w:r>
      <w:r>
        <w:rPr>
          <w:highlight w:val="none"/>
        </w:rPr>
      </w:r>
    </w:p>
    <w:p>
      <w:pPr>
        <w:pStyle w:val="860"/>
        <w:ind w:firstLine="708"/>
        <w:jc w:val="both"/>
        <w:rPr>
          <w:szCs w:val="28"/>
          <w:highlight w:val="none"/>
        </w:rPr>
      </w:pPr>
      <w:r>
        <w:rPr>
          <w:szCs w:val="28"/>
          <w:highlight w:val="none"/>
        </w:rPr>
        <w:t xml:space="preserve">КБК 023 1006 </w:t>
      </w:r>
      <w:r>
        <w:rPr>
          <w:szCs w:val="28"/>
          <w:highlight w:val="none"/>
        </w:rPr>
        <w:t xml:space="preserve">28.</w:t>
      </w:r>
      <w:r>
        <w:rPr>
          <w:szCs w:val="28"/>
          <w:highlight w:val="none"/>
        </w:rPr>
        <w:t xml:space="preserve">3</w:t>
      </w:r>
      <w:r>
        <w:rPr>
          <w:szCs w:val="28"/>
          <w:highlight w:val="none"/>
        </w:rPr>
        <w:t xml:space="preserve">.</w:t>
      </w:r>
      <w:r>
        <w:rPr>
          <w:szCs w:val="28"/>
          <w:highlight w:val="none"/>
        </w:rPr>
        <w:t xml:space="preserve">04</w:t>
      </w:r>
      <w:r>
        <w:rPr>
          <w:szCs w:val="28"/>
          <w:highlight w:val="none"/>
        </w:rPr>
        <w:t xml:space="preserve">.</w:t>
      </w:r>
      <w:r>
        <w:rPr>
          <w:szCs w:val="28"/>
          <w:highlight w:val="none"/>
        </w:rPr>
        <w:t xml:space="preserve">07710 633 – 19 503,8 тыс. рублей на 2026-2028 годы ежегодно.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pStyle w:val="860"/>
        <w:ind w:firstLine="709"/>
        <w:jc w:val="both"/>
        <w:rPr>
          <w:highlight w:val="none"/>
        </w:rPr>
      </w:pPr>
      <w:r>
        <w:rPr>
          <w:szCs w:val="28"/>
        </w:rPr>
        <w:t xml:space="preserve">Выпадающие доходы областного бюджета Новосибирской области при реализации закона отсутствуют.</w:t>
      </w:r>
      <w:r>
        <w:rPr>
          <w:highlight w:val="none"/>
        </w:rPr>
      </w:r>
      <w:r>
        <w:rPr>
          <w:highlight w:val="none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851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6"/>
      <w:jc w:val="center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PAGE   \* MERGEFORMAT</w:instrText>
    </w:r>
    <w:r>
      <w:rPr>
        <w:sz w:val="20"/>
      </w:rPr>
      <w:fldChar w:fldCharType="separate"/>
    </w:r>
    <w:r>
      <w:rPr>
        <w:sz w:val="20"/>
      </w:rPr>
      <w:t xml:space="preserve">2</w:t>
    </w:r>
    <w:r>
      <w:rPr>
        <w:sz w:val="20"/>
      </w:rPr>
      <w:fldChar w:fldCharType="end"/>
    </w:r>
    <w:r>
      <w:rPr>
        <w:sz w:val="20"/>
      </w:rPr>
    </w:r>
    <w:r>
      <w:rPr>
        <w:sz w:val="20"/>
      </w:rPr>
    </w:r>
  </w:p>
  <w:p>
    <w:pPr>
      <w:pStyle w:val="86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55" w:hanging="495"/>
        <w:tabs>
          <w:tab w:val="num" w:pos="85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405"/>
        <w:tabs>
          <w:tab w:val="num" w:pos="405" w:leader="none"/>
        </w:tabs>
      </w:pPr>
    </w:lvl>
    <w:lvl w:ilvl="1">
      <w:start w:val="0"/>
      <w:numFmt w:val="decimal"/>
      <w:isLgl w:val="false"/>
      <w:suff w:val="tab"/>
      <w:lvlText w:val=""/>
      <w:lvlJc w:val="left"/>
      <w:pPr/>
    </w:lvl>
    <w:lvl w:ilvl="2">
      <w:start w:val="0"/>
      <w:numFmt w:val="decimal"/>
      <w:isLgl w:val="false"/>
      <w:suff w:val="tab"/>
      <w:lvlText w:val=""/>
      <w:lvlJc w:val="left"/>
      <w:pPr/>
    </w:lvl>
    <w:lvl w:ilvl="3">
      <w:start w:val="0"/>
      <w:numFmt w:val="decimal"/>
      <w:isLgl w:val="false"/>
      <w:suff w:val="tab"/>
      <w:lvlText w:val=""/>
      <w:lvlJc w:val="left"/>
      <w:pPr/>
    </w:lvl>
    <w:lvl w:ilvl="4">
      <w:start w:val="0"/>
      <w:numFmt w:val="decimal"/>
      <w:isLgl w:val="false"/>
      <w:suff w:val="tab"/>
      <w:lvlText w:val=""/>
      <w:lvlJc w:val="left"/>
      <w:pPr/>
    </w:lvl>
    <w:lvl w:ilvl="5">
      <w:start w:val="0"/>
      <w:numFmt w:val="decimal"/>
      <w:isLgl w:val="false"/>
      <w:suff w:val="tab"/>
      <w:lvlText w:val=""/>
      <w:lvlJc w:val="left"/>
      <w:pPr/>
    </w:lvl>
    <w:lvl w:ilvl="6">
      <w:start w:val="0"/>
      <w:numFmt w:val="decimal"/>
      <w:isLgl w:val="false"/>
      <w:suff w:val="tab"/>
      <w:lvlText w:val=""/>
      <w:lvlJc w:val="left"/>
      <w:pPr/>
    </w:lvl>
    <w:lvl w:ilvl="7">
      <w:start w:val="0"/>
      <w:numFmt w:val="decimal"/>
      <w:isLgl w:val="false"/>
      <w:suff w:val="tab"/>
      <w:lvlText w:val=""/>
      <w:lvlJc w:val="left"/>
      <w:pPr/>
    </w:lvl>
    <w:lvl w:ilvl="8">
      <w:start w:val="0"/>
      <w:numFmt w:val="decimal"/>
      <w:isLgl w:val="false"/>
      <w:suff w:val="tab"/>
      <w:lvlText w:val=""/>
      <w:lvlJc w:val="left"/>
      <w:pPr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>
    <w:name w:val="Heading 1"/>
    <w:basedOn w:val="860"/>
    <w:next w:val="860"/>
    <w:link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3">
    <w:name w:val="Heading 1 Char"/>
    <w:link w:val="682"/>
    <w:uiPriority w:val="9"/>
    <w:rPr>
      <w:rFonts w:ascii="Arial" w:hAnsi="Arial" w:eastAsia="Arial" w:cs="Arial"/>
      <w:sz w:val="40"/>
      <w:szCs w:val="40"/>
    </w:rPr>
  </w:style>
  <w:style w:type="paragraph" w:styleId="684">
    <w:name w:val="Heading 2"/>
    <w:basedOn w:val="860"/>
    <w:next w:val="860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5">
    <w:name w:val="Heading 2 Char"/>
    <w:link w:val="684"/>
    <w:uiPriority w:val="9"/>
    <w:rPr>
      <w:rFonts w:ascii="Arial" w:hAnsi="Arial" w:eastAsia="Arial" w:cs="Arial"/>
      <w:sz w:val="34"/>
    </w:rPr>
  </w:style>
  <w:style w:type="paragraph" w:styleId="686">
    <w:name w:val="Heading 3"/>
    <w:basedOn w:val="860"/>
    <w:next w:val="860"/>
    <w:link w:val="68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7">
    <w:name w:val="Heading 3 Char"/>
    <w:link w:val="686"/>
    <w:uiPriority w:val="9"/>
    <w:rPr>
      <w:rFonts w:ascii="Arial" w:hAnsi="Arial" w:eastAsia="Arial" w:cs="Arial"/>
      <w:sz w:val="30"/>
      <w:szCs w:val="30"/>
    </w:rPr>
  </w:style>
  <w:style w:type="paragraph" w:styleId="688">
    <w:name w:val="Heading 4"/>
    <w:basedOn w:val="860"/>
    <w:next w:val="860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9">
    <w:name w:val="Heading 4 Char"/>
    <w:link w:val="688"/>
    <w:uiPriority w:val="9"/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860"/>
    <w:next w:val="860"/>
    <w:link w:val="6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1">
    <w:name w:val="Heading 5 Char"/>
    <w:link w:val="690"/>
    <w:uiPriority w:val="9"/>
    <w:rPr>
      <w:rFonts w:ascii="Arial" w:hAnsi="Arial" w:eastAsia="Arial" w:cs="Arial"/>
      <w:b/>
      <w:bCs/>
      <w:sz w:val="24"/>
      <w:szCs w:val="24"/>
    </w:rPr>
  </w:style>
  <w:style w:type="paragraph" w:styleId="692">
    <w:name w:val="Heading 6"/>
    <w:basedOn w:val="860"/>
    <w:next w:val="860"/>
    <w:link w:val="6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3">
    <w:name w:val="Heading 6 Char"/>
    <w:link w:val="692"/>
    <w:uiPriority w:val="9"/>
    <w:rPr>
      <w:rFonts w:ascii="Arial" w:hAnsi="Arial" w:eastAsia="Arial" w:cs="Arial"/>
      <w:b/>
      <w:bCs/>
      <w:sz w:val="22"/>
      <w:szCs w:val="22"/>
    </w:rPr>
  </w:style>
  <w:style w:type="paragraph" w:styleId="694">
    <w:name w:val="Heading 7"/>
    <w:basedOn w:val="860"/>
    <w:next w:val="860"/>
    <w:link w:val="6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7 Char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6">
    <w:name w:val="Heading 8"/>
    <w:basedOn w:val="860"/>
    <w:next w:val="860"/>
    <w:link w:val="6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7">
    <w:name w:val="Heading 8 Char"/>
    <w:link w:val="696"/>
    <w:uiPriority w:val="9"/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860"/>
    <w:next w:val="860"/>
    <w:link w:val="69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>
    <w:name w:val="Heading 9 Char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00">
    <w:name w:val="List Paragraph"/>
    <w:basedOn w:val="860"/>
    <w:uiPriority w:val="34"/>
    <w:qFormat/>
    <w:pPr>
      <w:contextualSpacing/>
      <w:ind w:left="720"/>
    </w:pPr>
  </w:style>
  <w:style w:type="paragraph" w:styleId="701">
    <w:name w:val="No Spacing"/>
    <w:uiPriority w:val="1"/>
    <w:qFormat/>
    <w:pPr>
      <w:spacing w:before="0" w:after="0" w:line="240" w:lineRule="auto"/>
    </w:pPr>
  </w:style>
  <w:style w:type="paragraph" w:styleId="702">
    <w:name w:val="Title"/>
    <w:basedOn w:val="860"/>
    <w:next w:val="860"/>
    <w:link w:val="7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3">
    <w:name w:val="Title Char"/>
    <w:link w:val="702"/>
    <w:uiPriority w:val="10"/>
    <w:rPr>
      <w:sz w:val="48"/>
      <w:szCs w:val="48"/>
    </w:rPr>
  </w:style>
  <w:style w:type="paragraph" w:styleId="704">
    <w:name w:val="Subtitle"/>
    <w:basedOn w:val="860"/>
    <w:next w:val="860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>
    <w:name w:val="Subtitle Char"/>
    <w:link w:val="704"/>
    <w:uiPriority w:val="11"/>
    <w:rPr>
      <w:sz w:val="24"/>
      <w:szCs w:val="24"/>
    </w:rPr>
  </w:style>
  <w:style w:type="paragraph" w:styleId="706">
    <w:name w:val="Quote"/>
    <w:basedOn w:val="860"/>
    <w:next w:val="860"/>
    <w:link w:val="707"/>
    <w:uiPriority w:val="29"/>
    <w:qFormat/>
    <w:pPr>
      <w:ind w:left="720" w:right="720"/>
    </w:pPr>
    <w:rPr>
      <w:i/>
    </w:rPr>
  </w:style>
  <w:style w:type="character" w:styleId="707">
    <w:name w:val="Quote Char"/>
    <w:link w:val="706"/>
    <w:uiPriority w:val="29"/>
    <w:rPr>
      <w:i/>
    </w:rPr>
  </w:style>
  <w:style w:type="paragraph" w:styleId="708">
    <w:name w:val="Intense Quote"/>
    <w:basedOn w:val="860"/>
    <w:next w:val="860"/>
    <w:link w:val="70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9">
    <w:name w:val="Intense Quote Char"/>
    <w:link w:val="708"/>
    <w:uiPriority w:val="30"/>
    <w:rPr>
      <w:i/>
    </w:rPr>
  </w:style>
  <w:style w:type="paragraph" w:styleId="710">
    <w:name w:val="Header"/>
    <w:basedOn w:val="860"/>
    <w:link w:val="71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1">
    <w:name w:val="Header Char"/>
    <w:link w:val="710"/>
    <w:uiPriority w:val="99"/>
  </w:style>
  <w:style w:type="paragraph" w:styleId="712">
    <w:name w:val="Footer"/>
    <w:basedOn w:val="860"/>
    <w:link w:val="7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3">
    <w:name w:val="Footer Char"/>
    <w:link w:val="712"/>
    <w:uiPriority w:val="99"/>
  </w:style>
  <w:style w:type="paragraph" w:styleId="714">
    <w:name w:val="Caption"/>
    <w:basedOn w:val="860"/>
    <w:next w:val="8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5">
    <w:name w:val="Caption Char"/>
    <w:basedOn w:val="714"/>
    <w:link w:val="712"/>
    <w:uiPriority w:val="99"/>
  </w:style>
  <w:style w:type="table" w:styleId="71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2">
    <w:name w:val="Hyperlink"/>
    <w:uiPriority w:val="99"/>
    <w:unhideWhenUsed/>
    <w:rPr>
      <w:color w:val="0000ff" w:themeColor="hyperlink"/>
      <w:u w:val="single"/>
    </w:rPr>
  </w:style>
  <w:style w:type="paragraph" w:styleId="843">
    <w:name w:val="footnote text"/>
    <w:basedOn w:val="860"/>
    <w:link w:val="844"/>
    <w:uiPriority w:val="99"/>
    <w:semiHidden/>
    <w:unhideWhenUsed/>
    <w:pPr>
      <w:spacing w:after="40" w:line="240" w:lineRule="auto"/>
    </w:pPr>
    <w:rPr>
      <w:sz w:val="18"/>
    </w:rPr>
  </w:style>
  <w:style w:type="character" w:styleId="844">
    <w:name w:val="Footnote Text Char"/>
    <w:link w:val="843"/>
    <w:uiPriority w:val="99"/>
    <w:rPr>
      <w:sz w:val="18"/>
    </w:rPr>
  </w:style>
  <w:style w:type="character" w:styleId="845">
    <w:name w:val="footnote reference"/>
    <w:uiPriority w:val="99"/>
    <w:unhideWhenUsed/>
    <w:rPr>
      <w:vertAlign w:val="superscript"/>
    </w:rPr>
  </w:style>
  <w:style w:type="paragraph" w:styleId="846">
    <w:name w:val="endnote text"/>
    <w:basedOn w:val="860"/>
    <w:link w:val="847"/>
    <w:uiPriority w:val="99"/>
    <w:semiHidden/>
    <w:unhideWhenUsed/>
    <w:pPr>
      <w:spacing w:after="0" w:line="240" w:lineRule="auto"/>
    </w:pPr>
    <w:rPr>
      <w:sz w:val="20"/>
    </w:rPr>
  </w:style>
  <w:style w:type="character" w:styleId="847">
    <w:name w:val="Endnote Text Char"/>
    <w:link w:val="846"/>
    <w:uiPriority w:val="99"/>
    <w:rPr>
      <w:sz w:val="20"/>
    </w:rPr>
  </w:style>
  <w:style w:type="character" w:styleId="848">
    <w:name w:val="endnote reference"/>
    <w:uiPriority w:val="99"/>
    <w:semiHidden/>
    <w:unhideWhenUsed/>
    <w:rPr>
      <w:vertAlign w:val="superscript"/>
    </w:rPr>
  </w:style>
  <w:style w:type="paragraph" w:styleId="849">
    <w:name w:val="toc 1"/>
    <w:basedOn w:val="860"/>
    <w:next w:val="860"/>
    <w:uiPriority w:val="39"/>
    <w:unhideWhenUsed/>
    <w:pPr>
      <w:ind w:left="0" w:right="0" w:firstLine="0"/>
      <w:spacing w:after="57"/>
    </w:pPr>
  </w:style>
  <w:style w:type="paragraph" w:styleId="850">
    <w:name w:val="toc 2"/>
    <w:basedOn w:val="860"/>
    <w:next w:val="860"/>
    <w:uiPriority w:val="39"/>
    <w:unhideWhenUsed/>
    <w:pPr>
      <w:ind w:left="283" w:right="0" w:firstLine="0"/>
      <w:spacing w:after="57"/>
    </w:pPr>
  </w:style>
  <w:style w:type="paragraph" w:styleId="851">
    <w:name w:val="toc 3"/>
    <w:basedOn w:val="860"/>
    <w:next w:val="860"/>
    <w:uiPriority w:val="39"/>
    <w:unhideWhenUsed/>
    <w:pPr>
      <w:ind w:left="567" w:right="0" w:firstLine="0"/>
      <w:spacing w:after="57"/>
    </w:pPr>
  </w:style>
  <w:style w:type="paragraph" w:styleId="852">
    <w:name w:val="toc 4"/>
    <w:basedOn w:val="860"/>
    <w:next w:val="860"/>
    <w:uiPriority w:val="39"/>
    <w:unhideWhenUsed/>
    <w:pPr>
      <w:ind w:left="850" w:right="0" w:firstLine="0"/>
      <w:spacing w:after="57"/>
    </w:pPr>
  </w:style>
  <w:style w:type="paragraph" w:styleId="853">
    <w:name w:val="toc 5"/>
    <w:basedOn w:val="860"/>
    <w:next w:val="860"/>
    <w:uiPriority w:val="39"/>
    <w:unhideWhenUsed/>
    <w:pPr>
      <w:ind w:left="1134" w:right="0" w:firstLine="0"/>
      <w:spacing w:after="57"/>
    </w:pPr>
  </w:style>
  <w:style w:type="paragraph" w:styleId="854">
    <w:name w:val="toc 6"/>
    <w:basedOn w:val="860"/>
    <w:next w:val="860"/>
    <w:uiPriority w:val="39"/>
    <w:unhideWhenUsed/>
    <w:pPr>
      <w:ind w:left="1417" w:right="0" w:firstLine="0"/>
      <w:spacing w:after="57"/>
    </w:pPr>
  </w:style>
  <w:style w:type="paragraph" w:styleId="855">
    <w:name w:val="toc 7"/>
    <w:basedOn w:val="860"/>
    <w:next w:val="860"/>
    <w:uiPriority w:val="39"/>
    <w:unhideWhenUsed/>
    <w:pPr>
      <w:ind w:left="1701" w:right="0" w:firstLine="0"/>
      <w:spacing w:after="57"/>
    </w:pPr>
  </w:style>
  <w:style w:type="paragraph" w:styleId="856">
    <w:name w:val="toc 8"/>
    <w:basedOn w:val="860"/>
    <w:next w:val="860"/>
    <w:uiPriority w:val="39"/>
    <w:unhideWhenUsed/>
    <w:pPr>
      <w:ind w:left="1984" w:right="0" w:firstLine="0"/>
      <w:spacing w:after="57"/>
    </w:pPr>
  </w:style>
  <w:style w:type="paragraph" w:styleId="857">
    <w:name w:val="toc 9"/>
    <w:basedOn w:val="860"/>
    <w:next w:val="860"/>
    <w:uiPriority w:val="39"/>
    <w:unhideWhenUsed/>
    <w:pPr>
      <w:ind w:left="2268" w:right="0" w:firstLine="0"/>
      <w:spacing w:after="57"/>
    </w:pPr>
  </w:style>
  <w:style w:type="paragraph" w:styleId="858">
    <w:name w:val="TOC Heading"/>
    <w:uiPriority w:val="39"/>
    <w:unhideWhenUsed/>
  </w:style>
  <w:style w:type="paragraph" w:styleId="859">
    <w:name w:val="table of figures"/>
    <w:basedOn w:val="860"/>
    <w:next w:val="860"/>
    <w:uiPriority w:val="99"/>
    <w:unhideWhenUsed/>
    <w:pPr>
      <w:spacing w:after="0" w:afterAutospacing="0"/>
    </w:pPr>
  </w:style>
  <w:style w:type="paragraph" w:styleId="860" w:default="1">
    <w:name w:val="Normal"/>
    <w:next w:val="860"/>
    <w:link w:val="860"/>
    <w:qFormat/>
    <w:rPr>
      <w:sz w:val="28"/>
      <w:lang w:val="ru-RU" w:eastAsia="ru-RU" w:bidi="ar-SA"/>
    </w:rPr>
  </w:style>
  <w:style w:type="character" w:styleId="861">
    <w:name w:val="Основной шрифт абзаца"/>
    <w:next w:val="861"/>
    <w:link w:val="860"/>
    <w:uiPriority w:val="1"/>
    <w:semiHidden/>
    <w:unhideWhenUsed/>
  </w:style>
  <w:style w:type="table" w:styleId="862">
    <w:name w:val="Обычная таблица"/>
    <w:next w:val="862"/>
    <w:link w:val="860"/>
    <w:uiPriority w:val="99"/>
    <w:semiHidden/>
    <w:unhideWhenUsed/>
    <w:tblPr/>
  </w:style>
  <w:style w:type="numbering" w:styleId="863">
    <w:name w:val="Нет списка"/>
    <w:next w:val="863"/>
    <w:link w:val="860"/>
    <w:uiPriority w:val="99"/>
    <w:semiHidden/>
    <w:unhideWhenUsed/>
  </w:style>
  <w:style w:type="paragraph" w:styleId="864">
    <w:name w:val="Основной текст"/>
    <w:basedOn w:val="860"/>
    <w:next w:val="864"/>
    <w:link w:val="860"/>
    <w:pPr>
      <w:jc w:val="center"/>
    </w:pPr>
  </w:style>
  <w:style w:type="paragraph" w:styleId="865">
    <w:name w:val="Название"/>
    <w:basedOn w:val="860"/>
    <w:next w:val="865"/>
    <w:link w:val="860"/>
    <w:qFormat/>
    <w:pPr>
      <w:jc w:val="center"/>
    </w:pPr>
    <w:rPr>
      <w:b/>
    </w:rPr>
  </w:style>
  <w:style w:type="paragraph" w:styleId="866">
    <w:name w:val="Верхний колонтитул"/>
    <w:basedOn w:val="860"/>
    <w:next w:val="866"/>
    <w:link w:val="867"/>
    <w:uiPriority w:val="99"/>
    <w:pPr>
      <w:tabs>
        <w:tab w:val="center" w:pos="4153" w:leader="none"/>
        <w:tab w:val="right" w:pos="8306" w:leader="none"/>
      </w:tabs>
    </w:pPr>
  </w:style>
  <w:style w:type="character" w:styleId="867">
    <w:name w:val="Верхний колонтитул Знак"/>
    <w:next w:val="867"/>
    <w:link w:val="866"/>
    <w:uiPriority w:val="99"/>
    <w:rPr>
      <w:sz w:val="28"/>
    </w:rPr>
  </w:style>
  <w:style w:type="paragraph" w:styleId="868">
    <w:name w:val="Текст выноски"/>
    <w:basedOn w:val="860"/>
    <w:next w:val="868"/>
    <w:link w:val="869"/>
    <w:rPr>
      <w:rFonts w:ascii="Tahoma" w:hAnsi="Tahoma" w:cs="Tahoma"/>
      <w:sz w:val="16"/>
      <w:szCs w:val="16"/>
    </w:rPr>
  </w:style>
  <w:style w:type="character" w:styleId="869">
    <w:name w:val="Текст выноски Знак"/>
    <w:next w:val="869"/>
    <w:link w:val="868"/>
    <w:rPr>
      <w:rFonts w:ascii="Tahoma" w:hAnsi="Tahoma" w:cs="Tahoma"/>
      <w:sz w:val="16"/>
      <w:szCs w:val="16"/>
    </w:rPr>
  </w:style>
  <w:style w:type="character" w:styleId="870">
    <w:name w:val="Знак примечания"/>
    <w:next w:val="870"/>
    <w:link w:val="860"/>
    <w:rPr>
      <w:sz w:val="16"/>
      <w:szCs w:val="16"/>
    </w:rPr>
  </w:style>
  <w:style w:type="paragraph" w:styleId="871">
    <w:name w:val="Текст примечания"/>
    <w:basedOn w:val="860"/>
    <w:next w:val="871"/>
    <w:link w:val="872"/>
    <w:rPr>
      <w:sz w:val="20"/>
    </w:rPr>
  </w:style>
  <w:style w:type="character" w:styleId="872">
    <w:name w:val="Текст примечания Знак"/>
    <w:basedOn w:val="861"/>
    <w:next w:val="872"/>
    <w:link w:val="871"/>
  </w:style>
  <w:style w:type="paragraph" w:styleId="873">
    <w:name w:val="Тема примечания"/>
    <w:basedOn w:val="871"/>
    <w:next w:val="871"/>
    <w:link w:val="874"/>
    <w:rPr>
      <w:b/>
      <w:bCs/>
    </w:rPr>
  </w:style>
  <w:style w:type="character" w:styleId="874">
    <w:name w:val="Тема примечания Знак"/>
    <w:next w:val="874"/>
    <w:link w:val="873"/>
    <w:rPr>
      <w:b/>
      <w:bCs/>
    </w:rPr>
  </w:style>
  <w:style w:type="paragraph" w:styleId="875">
    <w:name w:val="ConsPlusTitle"/>
    <w:next w:val="875"/>
    <w:link w:val="860"/>
    <w:pPr>
      <w:widowControl w:val="off"/>
    </w:pPr>
    <w:rPr>
      <w:rFonts w:ascii="Calibri" w:hAnsi="Calibri" w:cs="Calibri"/>
      <w:b/>
      <w:sz w:val="22"/>
      <w:lang w:val="ru-RU" w:eastAsia="ru-RU" w:bidi="ar-SA"/>
    </w:rPr>
  </w:style>
  <w:style w:type="paragraph" w:styleId="876">
    <w:name w:val="Нижний колонтитул"/>
    <w:basedOn w:val="860"/>
    <w:next w:val="876"/>
    <w:link w:val="877"/>
    <w:pPr>
      <w:tabs>
        <w:tab w:val="center" w:pos="4677" w:leader="none"/>
        <w:tab w:val="right" w:pos="9355" w:leader="none"/>
      </w:tabs>
    </w:pPr>
  </w:style>
  <w:style w:type="character" w:styleId="877">
    <w:name w:val="Нижний колонтитул Знак"/>
    <w:next w:val="877"/>
    <w:link w:val="876"/>
    <w:rPr>
      <w:sz w:val="28"/>
    </w:rPr>
  </w:style>
  <w:style w:type="character" w:styleId="878">
    <w:name w:val="docdata;docy;v5;3473;bqiaagaaeyqcaaagiaiaaanydqaabwynaaaaaaaaaaaaaaaaaaaaaaaaaaaaaaaaaaaaaaaaaaaaaaaaaaaaaaaaaaaaaaaaaaaaaaaaaaaaaaaaaaaaaaaaaaaaaaaaaaaaaaaaaaaaaaaaaaaaaaaaaaaaaaaaaaaaaaaaaaaaaaaaaaaaaaaaaaaaaaaaaaaaaaaaaaaaaaaaaaaaaaaaaaaaaaaaaaaaaaaa"/>
    <w:next w:val="878"/>
    <w:link w:val="860"/>
  </w:style>
  <w:style w:type="character" w:styleId="879">
    <w:name w:val="Гиперссылка"/>
    <w:next w:val="879"/>
    <w:link w:val="860"/>
    <w:rPr>
      <w:rFonts w:cs="Times New Roman"/>
      <w:color w:val="0000ff"/>
      <w:u w:val="single"/>
    </w:rPr>
  </w:style>
  <w:style w:type="character" w:styleId="880" w:default="1">
    <w:name w:val="Default Paragraph Font"/>
    <w:uiPriority w:val="1"/>
    <w:semiHidden/>
    <w:unhideWhenUsed/>
  </w:style>
  <w:style w:type="numbering" w:styleId="881" w:default="1">
    <w:name w:val="No List"/>
    <w:uiPriority w:val="99"/>
    <w:semiHidden/>
    <w:unhideWhenUsed/>
  </w:style>
  <w:style w:type="table" w:styleId="88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revision>10</cp:revision>
  <dcterms:created xsi:type="dcterms:W3CDTF">2024-09-30T09:04:00Z</dcterms:created>
  <dcterms:modified xsi:type="dcterms:W3CDTF">2026-02-18T08:01:38Z</dcterms:modified>
  <cp:version>1048576</cp:version>
</cp:coreProperties>
</file>